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EA2" w:rsidRPr="00702EA2" w:rsidRDefault="00702EA2" w:rsidP="00702EA2">
      <w:pPr>
        <w:pStyle w:val="1"/>
        <w:shd w:val="clear" w:color="auto" w:fill="FFFFFF"/>
        <w:spacing w:before="0" w:beforeAutospacing="0" w:after="180" w:afterAutospacing="0"/>
        <w:jc w:val="center"/>
        <w:textAlignment w:val="baseline"/>
        <w:rPr>
          <w:sz w:val="28"/>
          <w:szCs w:val="28"/>
        </w:rPr>
      </w:pPr>
      <w:r w:rsidRPr="00702EA2">
        <w:rPr>
          <w:sz w:val="28"/>
          <w:szCs w:val="28"/>
        </w:rPr>
        <w:t>Золотая булла (1356)</w:t>
      </w:r>
    </w:p>
    <w:p w:rsidR="00702EA2" w:rsidRDefault="00702EA2" w:rsidP="00717BE4">
      <w:pPr>
        <w:pStyle w:val="a3"/>
        <w:shd w:val="clear" w:color="auto" w:fill="FFFFFF"/>
        <w:spacing w:before="0" w:beforeAutospacing="0" w:after="240" w:afterAutospacing="0"/>
        <w:jc w:val="center"/>
        <w:textAlignment w:val="baseline"/>
        <w:rPr>
          <w:color w:val="444444"/>
          <w:sz w:val="22"/>
          <w:szCs w:val="22"/>
        </w:rPr>
      </w:pPr>
      <w:r>
        <w:rPr>
          <w:noProof/>
          <w:color w:val="444444"/>
          <w:sz w:val="22"/>
          <w:szCs w:val="22"/>
        </w:rPr>
        <w:drawing>
          <wp:inline distT="0" distB="0" distL="0" distR="0">
            <wp:extent cx="2741512" cy="1886673"/>
            <wp:effectExtent l="19050" t="0" r="1688" b="0"/>
            <wp:docPr id="5" name="Рисунок 5" descr="Золотая булла (135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олотая булла (1356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901" cy="188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EA2" w:rsidRPr="00717BE4" w:rsidRDefault="00702EA2" w:rsidP="00702EA2">
      <w:pPr>
        <w:pStyle w:val="3"/>
        <w:shd w:val="clear" w:color="auto" w:fill="FFFFFF"/>
        <w:spacing w:before="0" w:after="180"/>
        <w:jc w:val="center"/>
        <w:textAlignment w:val="baseline"/>
        <w:rPr>
          <w:rFonts w:ascii="Times New Roman" w:hAnsi="Times New Roman" w:cs="Times New Roman"/>
          <w:color w:val="444444"/>
          <w:sz w:val="24"/>
          <w:szCs w:val="24"/>
        </w:rPr>
      </w:pPr>
      <w:r w:rsidRPr="00717BE4">
        <w:rPr>
          <w:rFonts w:ascii="Times New Roman" w:hAnsi="Times New Roman" w:cs="Times New Roman"/>
          <w:color w:val="444444"/>
          <w:sz w:val="24"/>
          <w:szCs w:val="24"/>
        </w:rPr>
        <w:t>Что такое Золотая булла?</w:t>
      </w:r>
    </w:p>
    <w:p w:rsidR="00702EA2" w:rsidRDefault="00702EA2" w:rsidP="00717BE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44"/>
          <w:sz w:val="22"/>
          <w:szCs w:val="22"/>
        </w:rPr>
      </w:pPr>
      <w:r>
        <w:rPr>
          <w:color w:val="444444"/>
          <w:sz w:val="22"/>
          <w:szCs w:val="22"/>
        </w:rPr>
        <w:t xml:space="preserve">Золотая булла 1356 года – законодательный акт, который был принят имперским сеймом “Священной Римской империи” и утвержденный императором Карлом IV. Узаконила избрание императора коллегией курфюрстов (избирательных князей), закрепляла за ними другие привилегии. Поспособствовала политической раздробленности Германии. В силе была до 1806 года. Такое название документ получил </w:t>
      </w:r>
      <w:proofErr w:type="gramStart"/>
      <w:r>
        <w:rPr>
          <w:color w:val="444444"/>
          <w:sz w:val="22"/>
          <w:szCs w:val="22"/>
        </w:rPr>
        <w:t>из</w:t>
      </w:r>
      <w:proofErr w:type="gramEnd"/>
      <w:r>
        <w:rPr>
          <w:color w:val="444444"/>
          <w:sz w:val="22"/>
          <w:szCs w:val="22"/>
        </w:rPr>
        <w:t xml:space="preserve"> </w:t>
      </w:r>
      <w:proofErr w:type="gramStart"/>
      <w:r>
        <w:rPr>
          <w:color w:val="444444"/>
          <w:sz w:val="22"/>
          <w:szCs w:val="22"/>
        </w:rPr>
        <w:t>за</w:t>
      </w:r>
      <w:proofErr w:type="gramEnd"/>
      <w:r>
        <w:rPr>
          <w:color w:val="444444"/>
          <w:sz w:val="22"/>
          <w:szCs w:val="22"/>
        </w:rPr>
        <w:t xml:space="preserve"> золотой печати, которой он был скреплен.</w:t>
      </w:r>
    </w:p>
    <w:p w:rsidR="00702EA2" w:rsidRDefault="00702EA2" w:rsidP="00717BE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44"/>
          <w:sz w:val="22"/>
          <w:szCs w:val="22"/>
        </w:rPr>
      </w:pPr>
      <w:r>
        <w:rPr>
          <w:color w:val="444444"/>
          <w:sz w:val="22"/>
          <w:szCs w:val="22"/>
        </w:rPr>
        <w:t>Золотая булла, это был очередной шаг императора Германии по преодолению папского влияния. Еще, она должна была погасить непрекращающиеся феодальные распри, от которых так страдала Германия. Погасить путем уступок и подтверждения прав самых крупных из немецких князей — как светских, так и духовных. Ко всему, исследователи обращают внимание на то, что Золотая булла законодательно оформила многовластие в Германии.</w:t>
      </w:r>
    </w:p>
    <w:p w:rsidR="00717BE4" w:rsidRDefault="00717BE4" w:rsidP="00702EA2">
      <w:pPr>
        <w:pStyle w:val="5"/>
        <w:shd w:val="clear" w:color="auto" w:fill="FFFFFF"/>
        <w:spacing w:before="0" w:after="180"/>
        <w:jc w:val="center"/>
        <w:textAlignment w:val="baseline"/>
        <w:rPr>
          <w:rFonts w:ascii="Times New Roman" w:hAnsi="Times New Roman" w:cs="Times New Roman"/>
          <w:b/>
          <w:color w:val="444444"/>
          <w:sz w:val="24"/>
          <w:szCs w:val="24"/>
        </w:rPr>
      </w:pPr>
    </w:p>
    <w:p w:rsidR="00702EA2" w:rsidRPr="00717BE4" w:rsidRDefault="00702EA2" w:rsidP="00702EA2">
      <w:pPr>
        <w:pStyle w:val="5"/>
        <w:shd w:val="clear" w:color="auto" w:fill="FFFFFF"/>
        <w:spacing w:before="0" w:after="180"/>
        <w:jc w:val="center"/>
        <w:textAlignment w:val="baseline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717BE4">
        <w:rPr>
          <w:rFonts w:ascii="Times New Roman" w:hAnsi="Times New Roman" w:cs="Times New Roman"/>
          <w:b/>
          <w:color w:val="444444"/>
          <w:sz w:val="24"/>
          <w:szCs w:val="24"/>
        </w:rPr>
        <w:t>История принятия Золотой буллы</w:t>
      </w:r>
    </w:p>
    <w:p w:rsidR="00702EA2" w:rsidRDefault="00702EA2" w:rsidP="00717BE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44"/>
          <w:sz w:val="22"/>
          <w:szCs w:val="22"/>
        </w:rPr>
      </w:pPr>
      <w:r>
        <w:rPr>
          <w:color w:val="444444"/>
          <w:sz w:val="22"/>
          <w:szCs w:val="22"/>
        </w:rPr>
        <w:t xml:space="preserve">Императора Священной Римской империи уже давно избирали феодалы. Вначале не было определенного порядка его избрания. В выборах принимало участие много знатных князей. К концу XII века из князей выделилось несколько так называемых курфюрстов. Император выбирался обычно тремя архиепископами — </w:t>
      </w:r>
      <w:proofErr w:type="spellStart"/>
      <w:r>
        <w:rPr>
          <w:color w:val="444444"/>
          <w:sz w:val="22"/>
          <w:szCs w:val="22"/>
        </w:rPr>
        <w:t>майнцским</w:t>
      </w:r>
      <w:proofErr w:type="spellEnd"/>
      <w:r>
        <w:rPr>
          <w:color w:val="444444"/>
          <w:sz w:val="22"/>
          <w:szCs w:val="22"/>
        </w:rPr>
        <w:t xml:space="preserve">, </w:t>
      </w:r>
      <w:proofErr w:type="gramStart"/>
      <w:r>
        <w:rPr>
          <w:color w:val="444444"/>
          <w:sz w:val="22"/>
          <w:szCs w:val="22"/>
        </w:rPr>
        <w:t>кельнским</w:t>
      </w:r>
      <w:proofErr w:type="gramEnd"/>
      <w:r>
        <w:rPr>
          <w:color w:val="444444"/>
          <w:sz w:val="22"/>
          <w:szCs w:val="22"/>
        </w:rPr>
        <w:t xml:space="preserve"> и </w:t>
      </w:r>
      <w:proofErr w:type="spellStart"/>
      <w:r>
        <w:rPr>
          <w:color w:val="444444"/>
          <w:sz w:val="22"/>
          <w:szCs w:val="22"/>
        </w:rPr>
        <w:t>трирским</w:t>
      </w:r>
      <w:proofErr w:type="spellEnd"/>
      <w:r>
        <w:rPr>
          <w:color w:val="444444"/>
          <w:sz w:val="22"/>
          <w:szCs w:val="22"/>
        </w:rPr>
        <w:t xml:space="preserve"> — и 3–4 светскими князьями. Острая борьба велась вокруг голоса чешского короля, которому отказывалось в избирательном праве на том основании, что он не немец. В выборы постоянно пыталась вмешаться папская курия, и временами ее одобрение или неодобрение в действительности оказывало влияние на исход процедуры.</w:t>
      </w:r>
    </w:p>
    <w:p w:rsidR="00702EA2" w:rsidRDefault="00702EA2" w:rsidP="00717BE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444444"/>
          <w:sz w:val="22"/>
          <w:szCs w:val="22"/>
        </w:rPr>
      </w:pPr>
      <w:r>
        <w:rPr>
          <w:color w:val="444444"/>
          <w:sz w:val="22"/>
          <w:szCs w:val="22"/>
        </w:rPr>
        <w:t>Именно папа, который враждовал с императором Людвигом IV, выдвинул ему в качестве про</w:t>
      </w:r>
      <w:r w:rsidR="00717BE4">
        <w:rPr>
          <w:color w:val="444444"/>
          <w:sz w:val="22"/>
          <w:szCs w:val="22"/>
        </w:rPr>
        <w:t>тивовеса чешского короля Карла, которого ч</w:t>
      </w:r>
      <w:r>
        <w:rPr>
          <w:color w:val="444444"/>
          <w:sz w:val="22"/>
          <w:szCs w:val="22"/>
        </w:rPr>
        <w:t xml:space="preserve">асть курфюрстов в 1346 году избрала императором. </w:t>
      </w:r>
      <w:proofErr w:type="gramStart"/>
      <w:r>
        <w:rPr>
          <w:color w:val="444444"/>
          <w:sz w:val="22"/>
          <w:szCs w:val="22"/>
        </w:rPr>
        <w:t>Еще</w:t>
      </w:r>
      <w:proofErr w:type="gramEnd"/>
      <w:r>
        <w:rPr>
          <w:color w:val="444444"/>
          <w:sz w:val="22"/>
          <w:szCs w:val="22"/>
        </w:rPr>
        <w:t xml:space="preserve"> будучи наместником при короле-отце, а после и королем Чехии, Карл зарекомендовал себя как человек, имеющий четкую политическую программу и выполняющий ее, сочетая решительность действий с политической гибкостью. Он смог подчинить себе чешских дворян, усовершенствовал систему судопроизводства, оказал серьезную поддержку городам.</w:t>
      </w:r>
    </w:p>
    <w:p w:rsidR="00702EA2" w:rsidRDefault="00702EA2" w:rsidP="00684B57">
      <w:pPr>
        <w:pStyle w:val="a3"/>
        <w:shd w:val="clear" w:color="auto" w:fill="FFFFFF"/>
        <w:spacing w:before="0" w:beforeAutospacing="0" w:after="240" w:afterAutospacing="0"/>
        <w:textAlignment w:val="baseline"/>
        <w:rPr>
          <w:color w:val="444444"/>
          <w:sz w:val="22"/>
          <w:szCs w:val="22"/>
        </w:rPr>
      </w:pPr>
      <w:r>
        <w:rPr>
          <w:noProof/>
          <w:color w:val="444444"/>
          <w:sz w:val="22"/>
          <w:szCs w:val="22"/>
        </w:rPr>
        <w:drawing>
          <wp:inline distT="0" distB="0" distL="0" distR="0">
            <wp:extent cx="2805172" cy="1990846"/>
            <wp:effectExtent l="19050" t="0" r="0" b="0"/>
            <wp:docPr id="10" name="Рисунок 10" descr="Золотая булла (1356)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олотая булла (1356)-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592" cy="1991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4B57">
        <w:rPr>
          <w:color w:val="444444"/>
          <w:sz w:val="22"/>
          <w:szCs w:val="22"/>
        </w:rPr>
        <w:t xml:space="preserve"> </w:t>
      </w:r>
      <w:r w:rsidR="00684B57" w:rsidRPr="00684B57">
        <w:rPr>
          <w:color w:val="444444"/>
          <w:sz w:val="22"/>
          <w:szCs w:val="22"/>
        </w:rPr>
        <w:drawing>
          <wp:inline distT="0" distB="0" distL="0" distR="0">
            <wp:extent cx="2782023" cy="1799863"/>
            <wp:effectExtent l="19050" t="0" r="0" b="0"/>
            <wp:docPr id="17" name="Рисунок 11" descr="Золотая булла (1356)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Золотая булла (1356)-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500" cy="1802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EA2" w:rsidRDefault="00702EA2" w:rsidP="00717BE4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textAlignment w:val="baseline"/>
        <w:rPr>
          <w:color w:val="444444"/>
          <w:sz w:val="22"/>
          <w:szCs w:val="22"/>
        </w:rPr>
      </w:pPr>
      <w:r>
        <w:rPr>
          <w:color w:val="444444"/>
          <w:sz w:val="22"/>
          <w:szCs w:val="22"/>
        </w:rPr>
        <w:lastRenderedPageBreak/>
        <w:t xml:space="preserve">В конце 1355 года Карл созвал съезд в Нюрнберге, «чтобы посоветоваться для общей пользы о мире в стране». Речь пошла о принципах выборов императора. Окончательное решение на этот счет было принято в ноябре 1356 года на съезде в </w:t>
      </w:r>
      <w:proofErr w:type="spellStart"/>
      <w:r>
        <w:rPr>
          <w:color w:val="444444"/>
          <w:sz w:val="22"/>
          <w:szCs w:val="22"/>
        </w:rPr>
        <w:t>Меце</w:t>
      </w:r>
      <w:proofErr w:type="spellEnd"/>
      <w:r>
        <w:rPr>
          <w:color w:val="444444"/>
          <w:sz w:val="22"/>
          <w:szCs w:val="22"/>
        </w:rPr>
        <w:t>. Карл VI издал так называемую Золотую буллу, которая определяла порядок избрания императора.</w:t>
      </w:r>
    </w:p>
    <w:p w:rsidR="00702EA2" w:rsidRPr="00684B57" w:rsidRDefault="00702EA2" w:rsidP="00702EA2">
      <w:pPr>
        <w:pStyle w:val="5"/>
        <w:shd w:val="clear" w:color="auto" w:fill="FFFFFF"/>
        <w:spacing w:before="0" w:after="180"/>
        <w:jc w:val="center"/>
        <w:textAlignment w:val="baseline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684B57">
        <w:rPr>
          <w:rFonts w:ascii="Times New Roman" w:hAnsi="Times New Roman" w:cs="Times New Roman"/>
          <w:b/>
          <w:color w:val="444444"/>
          <w:sz w:val="24"/>
          <w:szCs w:val="24"/>
        </w:rPr>
        <w:t>Содержание. Практическое применение Золотой буллы</w:t>
      </w:r>
    </w:p>
    <w:p w:rsidR="00702EA2" w:rsidRPr="00684B57" w:rsidRDefault="00702EA2" w:rsidP="00684B57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44444"/>
        </w:rPr>
      </w:pPr>
      <w:r w:rsidRPr="00684B57">
        <w:rPr>
          <w:color w:val="444444"/>
        </w:rPr>
        <w:t xml:space="preserve">Согласно Золотой булле право избрания императора принадлежало 7-и курфюрстам: архиепископам </w:t>
      </w:r>
      <w:proofErr w:type="spellStart"/>
      <w:r w:rsidRPr="00684B57">
        <w:rPr>
          <w:color w:val="444444"/>
        </w:rPr>
        <w:t>майнцскому</w:t>
      </w:r>
      <w:proofErr w:type="spellEnd"/>
      <w:r w:rsidRPr="00684B57">
        <w:rPr>
          <w:color w:val="444444"/>
        </w:rPr>
        <w:t xml:space="preserve">, кельнскому и </w:t>
      </w:r>
      <w:proofErr w:type="spellStart"/>
      <w:r w:rsidRPr="00684B57">
        <w:rPr>
          <w:color w:val="444444"/>
        </w:rPr>
        <w:t>трирскому</w:t>
      </w:r>
      <w:proofErr w:type="spellEnd"/>
      <w:r w:rsidRPr="00684B57">
        <w:rPr>
          <w:color w:val="444444"/>
        </w:rPr>
        <w:t xml:space="preserve">, королю богемскому (чешскому), пфальцграфу рейнскому, герцогу </w:t>
      </w:r>
      <w:proofErr w:type="spellStart"/>
      <w:r w:rsidRPr="00684B57">
        <w:rPr>
          <w:color w:val="444444"/>
        </w:rPr>
        <w:t>саксен-виттенбергскому</w:t>
      </w:r>
      <w:proofErr w:type="spellEnd"/>
      <w:r w:rsidRPr="00684B57">
        <w:rPr>
          <w:color w:val="444444"/>
        </w:rPr>
        <w:t xml:space="preserve"> и маркграфу бранденбургскому. Четко были определены обязанности каждого из курфюрстов во время избирательной процедуры, которые подчеркивали их ранг. После кончины императора архиепископу </w:t>
      </w:r>
      <w:proofErr w:type="spellStart"/>
      <w:r w:rsidRPr="00684B57">
        <w:rPr>
          <w:color w:val="444444"/>
        </w:rPr>
        <w:t>майнцскому</w:t>
      </w:r>
      <w:proofErr w:type="spellEnd"/>
      <w:r w:rsidRPr="00684B57">
        <w:rPr>
          <w:color w:val="444444"/>
        </w:rPr>
        <w:t xml:space="preserve"> следовало пригласить курфюрстов явиться на съезд во Франкфурт-на-Майне в 3-х месячный срок.</w:t>
      </w:r>
    </w:p>
    <w:p w:rsidR="00702EA2" w:rsidRPr="00684B57" w:rsidRDefault="00702EA2" w:rsidP="00684B57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44444"/>
        </w:rPr>
      </w:pPr>
      <w:r w:rsidRPr="00684B57">
        <w:rPr>
          <w:color w:val="444444"/>
        </w:rPr>
        <w:t xml:space="preserve">Избирательная процедура ограничивалась 30 днями. Если по истечении 30-ти дневного срока курфюрсты не выбирали императора, то «они должны были перейти на питание только хлебом и водой и ни в коем случае не выезжать из города, пока не будет избран новый правитель христианского народа». Голос </w:t>
      </w:r>
      <w:proofErr w:type="spellStart"/>
      <w:r w:rsidRPr="00684B57">
        <w:rPr>
          <w:color w:val="444444"/>
        </w:rPr>
        <w:t>неявившегося</w:t>
      </w:r>
      <w:proofErr w:type="spellEnd"/>
      <w:r w:rsidRPr="00684B57">
        <w:rPr>
          <w:color w:val="444444"/>
        </w:rPr>
        <w:t xml:space="preserve"> или </w:t>
      </w:r>
      <w:proofErr w:type="gramStart"/>
      <w:r w:rsidRPr="00684B57">
        <w:rPr>
          <w:color w:val="444444"/>
        </w:rPr>
        <w:t>опоздавшего</w:t>
      </w:r>
      <w:proofErr w:type="gramEnd"/>
      <w:r w:rsidRPr="00684B57">
        <w:rPr>
          <w:color w:val="444444"/>
        </w:rPr>
        <w:t xml:space="preserve"> не учитывали. Вменялось в обязанность всем князьям поддерживать курфюрстов, которые направлялись на выборы. Даже если это был их личный враг, в их обязанность входило дать курфюрстам сопровождение и охрану для участия в выборах.</w:t>
      </w:r>
    </w:p>
    <w:p w:rsidR="00702EA2" w:rsidRPr="00684B57" w:rsidRDefault="00702EA2" w:rsidP="00684B57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44444"/>
        </w:rPr>
      </w:pPr>
      <w:r w:rsidRPr="00684B57">
        <w:rPr>
          <w:color w:val="444444"/>
        </w:rPr>
        <w:t xml:space="preserve">Избранного императора короновали в </w:t>
      </w:r>
      <w:proofErr w:type="spellStart"/>
      <w:r w:rsidRPr="00684B57">
        <w:rPr>
          <w:color w:val="444444"/>
        </w:rPr>
        <w:t>Аахене</w:t>
      </w:r>
      <w:proofErr w:type="spellEnd"/>
      <w:r w:rsidRPr="00684B57">
        <w:rPr>
          <w:color w:val="444444"/>
        </w:rPr>
        <w:t xml:space="preserve">, всякое участие папы в выборах отменялось. Только что избранный император должен был подтвердить всем князьям-избирателям «все их права, привилегии и грамоты, вольности, пожалования, старинные обычаи, а также почетные саны и все, что они от империи получили и чем обладали вплоть до дня выборов». Булла предполагала превращение коллегии курфюрстов </w:t>
      </w:r>
      <w:proofErr w:type="gramStart"/>
      <w:r w:rsidRPr="00684B57">
        <w:rPr>
          <w:color w:val="444444"/>
        </w:rPr>
        <w:t>в</w:t>
      </w:r>
      <w:proofErr w:type="gramEnd"/>
      <w:r w:rsidRPr="00684B57">
        <w:rPr>
          <w:color w:val="444444"/>
        </w:rPr>
        <w:t xml:space="preserve"> все время действующий орган управления, для чего они должны собираться каждый год, но этот пункт со временем перестали соблюдать.</w:t>
      </w:r>
    </w:p>
    <w:p w:rsidR="00702EA2" w:rsidRDefault="00702EA2" w:rsidP="00684B57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textAlignment w:val="baseline"/>
        <w:rPr>
          <w:color w:val="444444"/>
          <w:sz w:val="22"/>
          <w:szCs w:val="22"/>
        </w:rPr>
      </w:pPr>
      <w:r>
        <w:rPr>
          <w:color w:val="444444"/>
          <w:sz w:val="22"/>
          <w:szCs w:val="22"/>
        </w:rPr>
        <w:t>За курфюрстами подтверждалась неделимость их владений, свобода в судебных делах и привилегия, в силу которой у императора не было права принимать апелляцию на курфюршестский суд.</w:t>
      </w:r>
    </w:p>
    <w:p w:rsidR="00702EA2" w:rsidRDefault="00702EA2" w:rsidP="00702EA2">
      <w:pPr>
        <w:pStyle w:val="a3"/>
        <w:pBdr>
          <w:top w:val="single" w:sz="4" w:space="6" w:color="D40000"/>
          <w:left w:val="single" w:sz="4" w:space="6" w:color="D40000"/>
          <w:bottom w:val="single" w:sz="4" w:space="6" w:color="D40000"/>
          <w:right w:val="single" w:sz="4" w:space="6" w:color="D40000"/>
        </w:pBdr>
        <w:shd w:val="clear" w:color="auto" w:fill="EFEFEF"/>
        <w:spacing w:before="0" w:beforeAutospacing="0" w:after="240" w:afterAutospacing="0"/>
        <w:textAlignment w:val="baseline"/>
        <w:rPr>
          <w:color w:val="444444"/>
          <w:sz w:val="22"/>
          <w:szCs w:val="22"/>
        </w:rPr>
      </w:pPr>
      <w:r>
        <w:rPr>
          <w:color w:val="444444"/>
          <w:sz w:val="22"/>
          <w:szCs w:val="22"/>
        </w:rPr>
        <w:t>Золотая була 1356 года Карла IV: курфюрсты имеют право:</w:t>
      </w:r>
      <w:r>
        <w:rPr>
          <w:color w:val="444444"/>
          <w:sz w:val="22"/>
          <w:szCs w:val="22"/>
        </w:rPr>
        <w:br/>
        <w:t>– Изберать и смещать королей;</w:t>
      </w:r>
      <w:r>
        <w:rPr>
          <w:color w:val="444444"/>
          <w:sz w:val="22"/>
          <w:szCs w:val="22"/>
        </w:rPr>
        <w:br/>
        <w:t>– Воевать с королями;</w:t>
      </w:r>
      <w:r>
        <w:rPr>
          <w:color w:val="444444"/>
          <w:sz w:val="22"/>
          <w:szCs w:val="22"/>
        </w:rPr>
        <w:br/>
        <w:t>– Вершить суд и собирать налоги;</w:t>
      </w:r>
      <w:r>
        <w:rPr>
          <w:color w:val="444444"/>
          <w:sz w:val="22"/>
          <w:szCs w:val="22"/>
        </w:rPr>
        <w:br/>
        <w:t>– Чеканить монету.</w:t>
      </w:r>
    </w:p>
    <w:p w:rsidR="00702EA2" w:rsidRPr="00684B57" w:rsidRDefault="00702EA2" w:rsidP="00684B57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44444"/>
        </w:rPr>
      </w:pPr>
      <w:r w:rsidRPr="00684B57">
        <w:rPr>
          <w:color w:val="444444"/>
        </w:rPr>
        <w:t>Главное место среди князей империи занял король Чехии. В Золотой булле говорится, что после голосов 3-х архиепископов следует очередь чешского короля, «который среди светских курфюрстов обладает первенством благодаря величию королевского сана, праву и заслугам».</w:t>
      </w:r>
    </w:p>
    <w:p w:rsidR="00702EA2" w:rsidRPr="00684B57" w:rsidRDefault="00702EA2" w:rsidP="00684B57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444444"/>
        </w:rPr>
      </w:pPr>
      <w:r w:rsidRPr="00684B57">
        <w:rPr>
          <w:color w:val="444444"/>
        </w:rPr>
        <w:t>Что до Чехии Золотая булла подтверждала, что в ней ни у кого нет права жаловаться на решения короля, обращаться к суду императора. Иностранцам запрещалось покупать имения в Чехии, но король Чехии мог приобретать земли в империи. На Чехию не распространялась власть опекунов империи на случай междуцарствия. Чехия вошла в состав Священной Римской империи как главный ее член, и ленная зависимость чешского курфюрста от императора была фикцией.</w:t>
      </w:r>
    </w:p>
    <w:p w:rsidR="00702EA2" w:rsidRDefault="00684B57" w:rsidP="002A64E5">
      <w:pPr>
        <w:tabs>
          <w:tab w:val="left" w:pos="3873"/>
        </w:tabs>
        <w:spacing w:after="0" w:line="240" w:lineRule="auto"/>
        <w:jc w:val="both"/>
      </w:pPr>
      <w:r w:rsidRPr="00684B57">
        <w:rPr>
          <w:sz w:val="24"/>
          <w:szCs w:val="24"/>
        </w:rPr>
        <w:tab/>
      </w:r>
    </w:p>
    <w:p w:rsidR="00702EA2" w:rsidRDefault="00702EA2"/>
    <w:sectPr w:rsidR="00702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702EA2"/>
    <w:rsid w:val="002A64E5"/>
    <w:rsid w:val="00684B57"/>
    <w:rsid w:val="00702EA2"/>
    <w:rsid w:val="0071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2E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2EA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E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02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702EA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02EA2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4">
    <w:name w:val="Hyperlink"/>
    <w:basedOn w:val="a0"/>
    <w:uiPriority w:val="99"/>
    <w:semiHidden/>
    <w:unhideWhenUsed/>
    <w:rsid w:val="00702E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0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2E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018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28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81378">
                  <w:marLeft w:val="0"/>
                  <w:marRight w:val="0"/>
                  <w:marTop w:val="0"/>
                  <w:marBottom w:val="0"/>
                  <w:divBdr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divBdr>
                  <w:divsChild>
                    <w:div w:id="901404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83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2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661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07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4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47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65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60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06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9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906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383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63649">
                  <w:marLeft w:val="0"/>
                  <w:marRight w:val="0"/>
                  <w:marTop w:val="0"/>
                  <w:marBottom w:val="0"/>
                  <w:divBdr>
                    <w:top w:val="single" w:sz="2" w:space="0" w:color="FFFFFF"/>
                    <w:left w:val="single" w:sz="2" w:space="0" w:color="FFFFFF"/>
                    <w:bottom w:val="single" w:sz="2" w:space="0" w:color="FFFFFF"/>
                    <w:right w:val="single" w:sz="2" w:space="0" w:color="FFFFFF"/>
                  </w:divBdr>
                  <w:divsChild>
                    <w:div w:id="88329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45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13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01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884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9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71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022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03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29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629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15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00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088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180658">
                  <w:marLeft w:val="0"/>
                  <w:marRight w:val="0"/>
                  <w:marTop w:val="0"/>
                  <w:marBottom w:val="0"/>
                  <w:divBdr>
                    <w:top w:val="single" w:sz="2" w:space="2" w:color="FFFFFF"/>
                    <w:left w:val="single" w:sz="2" w:space="2" w:color="FFFFFF"/>
                    <w:bottom w:val="single" w:sz="2" w:space="2" w:color="FFFFFF"/>
                    <w:right w:val="single" w:sz="2" w:space="2" w:color="FFFFFF"/>
                  </w:divBdr>
                  <w:divsChild>
                    <w:div w:id="1591894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92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64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663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91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9233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311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45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007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71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493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42291-1255-4F3C-A293-E59C328B9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</cp:revision>
  <dcterms:created xsi:type="dcterms:W3CDTF">2020-03-28T19:14:00Z</dcterms:created>
  <dcterms:modified xsi:type="dcterms:W3CDTF">2020-03-28T19:45:00Z</dcterms:modified>
</cp:coreProperties>
</file>